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27" w:rsidRPr="00972B48" w:rsidRDefault="00FB0727" w:rsidP="00FB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2B48" w:rsidRPr="00972B48" w:rsidRDefault="00FB0727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риднестровской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олдавской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</w:p>
    <w:p w:rsidR="005257DB" w:rsidRDefault="005257DB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DB" w:rsidRDefault="00FB0727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2020 года</w:t>
      </w:r>
    </w:p>
    <w:p w:rsidR="00972B48" w:rsidRDefault="00FB0727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</w:t>
      </w:r>
    </w:p>
    <w:p w:rsidR="00FB0727" w:rsidRPr="00972B48" w:rsidRDefault="00FB0727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20-21)</w:t>
      </w:r>
    </w:p>
    <w:p w:rsidR="00972B48" w:rsidRPr="00972B48" w:rsidRDefault="00972B48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9B" w:rsidRDefault="00FB0727" w:rsidP="00FB072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Положения о порядке финансирования авансовым платежом</w:t>
      </w:r>
    </w:p>
    <w:p w:rsidR="009E419B" w:rsidRDefault="009E419B" w:rsidP="00FB072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возмещения </w:t>
      </w:r>
      <w:r w:rsidRPr="00FB0727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счет средств республиканского бюджета расходов организаций</w:t>
      </w:r>
    </w:p>
    <w:p w:rsidR="00FB0727" w:rsidRPr="00FB0727" w:rsidRDefault="009E419B" w:rsidP="00FB072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FB0727" w:rsidRPr="00FB0727">
        <w:rPr>
          <w:rFonts w:ascii="Times New Roman" w:eastAsia="Times New Roman" w:hAnsi="Times New Roman" w:cs="Times New Roman"/>
          <w:sz w:val="24"/>
          <w:szCs w:val="28"/>
          <w:lang w:eastAsia="ru-RU"/>
        </w:rPr>
        <w:t>о оплате времени простоя в период действия в Приднестровской Молдавской Республике чрезвычайного положения</w:t>
      </w:r>
      <w:r w:rsidR="00AB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B6F76" w:rsidRPr="00AB6F76">
        <w:rPr>
          <w:rFonts w:ascii="Times New Roman" w:eastAsia="Times New Roman" w:hAnsi="Times New Roman" w:cs="Times New Roman"/>
          <w:sz w:val="24"/>
          <w:szCs w:val="28"/>
          <w:lang w:eastAsia="ru-RU"/>
        </w:rPr>
        <w:t>и (или) ограничит</w:t>
      </w:r>
      <w:r w:rsidR="00AB6F76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ельных мероприятий (карантина)</w:t>
      </w:r>
    </w:p>
    <w:p w:rsidR="00972B48" w:rsidRPr="00FB0727" w:rsidRDefault="00972B48" w:rsidP="00972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7" w:rsidRDefault="00FB0727" w:rsidP="00373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B072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 изменениями и дополнениям</w:t>
      </w:r>
      <w:r w:rsidR="00814EE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 w:rsidRPr="00FB072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внесенными постановлениями Правител</w:t>
      </w:r>
      <w:r w:rsidR="00814EE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ь</w:t>
      </w:r>
      <w:r w:rsidRPr="00FB072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ства </w:t>
      </w:r>
      <w:r w:rsidR="00814EE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ПМР:</w:t>
      </w:r>
    </w:p>
    <w:p w:rsidR="00422624" w:rsidRDefault="00422624" w:rsidP="00373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422624" w:rsidSect="0085085E">
          <w:pgSz w:w="11906" w:h="16838"/>
          <w:pgMar w:top="271" w:right="567" w:bottom="851" w:left="1701" w:header="280" w:footer="709" w:gutter="0"/>
          <w:pgNumType w:fmt="numberInDash"/>
          <w:cols w:space="720"/>
          <w:docGrid w:linePitch="326"/>
        </w:sectPr>
      </w:pPr>
    </w:p>
    <w:p w:rsidR="00814EEE" w:rsidRDefault="00814EEE" w:rsidP="00373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 xml:space="preserve">- </w:t>
      </w:r>
      <w:r w:rsidR="00AB6F76" w:rsidRPr="00AB6F7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от 4 июня 2020 года № 187 (САЗ 20-23)</w:t>
      </w:r>
      <w:r w:rsidR="00AB6F7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;</w:t>
      </w:r>
    </w:p>
    <w:p w:rsidR="00814EEE" w:rsidRDefault="00814EEE" w:rsidP="00373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- </w:t>
      </w:r>
      <w:r w:rsid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от </w:t>
      </w:r>
      <w:r w:rsidR="00181A25"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23 июля 2020</w:t>
      </w:r>
      <w:r w:rsid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года</w:t>
      </w:r>
      <w:r w:rsidR="00181A25"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№ 254 </w:t>
      </w:r>
      <w:r w:rsid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181A25"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САЗ 20-30</w:t>
      </w:r>
      <w:r w:rsid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);</w:t>
      </w:r>
    </w:p>
    <w:p w:rsidR="0018513A" w:rsidRDefault="0018513A" w:rsidP="00373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-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от 10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марта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года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№ 72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</w:t>
      </w:r>
      <w:r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САЗ 2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</w:t>
      </w:r>
      <w:r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10);</w:t>
      </w:r>
    </w:p>
    <w:p w:rsidR="00880F53" w:rsidRDefault="00373E96" w:rsidP="00880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 xml:space="preserve">-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19 апреля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года </w:t>
      </w:r>
      <w:r w:rsidRPr="001D3CA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127 (</w:t>
      </w:r>
      <w:r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САЗ 2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</w:t>
      </w:r>
      <w:r w:rsidRPr="00181A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16)</w:t>
      </w:r>
      <w:r w:rsidR="000A48F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;</w:t>
      </w:r>
    </w:p>
    <w:p w:rsidR="00FB0727" w:rsidRPr="00880F53" w:rsidRDefault="008978A3" w:rsidP="00880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85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от 18 апреля 2022 года №139 (САЗ 22-15)</w:t>
      </w:r>
    </w:p>
    <w:p w:rsidR="00422624" w:rsidRDefault="00422624" w:rsidP="00751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2624" w:rsidSect="00373E96">
          <w:type w:val="continuous"/>
          <w:pgSz w:w="11906" w:h="16838"/>
          <w:pgMar w:top="271" w:right="567" w:bottom="851" w:left="1701" w:header="280" w:footer="709" w:gutter="0"/>
          <w:pgNumType w:fmt="numberInDash"/>
          <w:cols w:num="2" w:space="282"/>
          <w:docGrid w:linePitch="326"/>
        </w:sectPr>
      </w:pPr>
    </w:p>
    <w:p w:rsidR="0018513A" w:rsidRDefault="0018513A" w:rsidP="00751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0B" w:rsidRDefault="0075140B" w:rsidP="00751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РЕДАКЦИЯ ПО СОСТОЯНИЮ НА </w:t>
      </w:r>
      <w:r w:rsidR="000A48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8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140B" w:rsidRDefault="0075140B" w:rsidP="00972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B78" w:rsidRPr="007C5B78" w:rsidRDefault="007C5B78" w:rsidP="00DB3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5B7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</w:t>
      </w:r>
      <w:bookmarkStart w:id="0" w:name="_GoBack"/>
      <w:bookmarkEnd w:id="0"/>
      <w:r w:rsidRPr="007C5B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одпунктом «я» статьи 1 Закона Приднестровской Молдавской Республики 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2020-2022 годах» (САЗ 20-15) Правительство Приднестровской Молдавской Республики </w:t>
      </w:r>
    </w:p>
    <w:p w:rsidR="00E61BE4" w:rsidRPr="00E61BE4" w:rsidRDefault="007C5B78" w:rsidP="007C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5B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 о с т а н 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л я е т</w:t>
      </w:r>
      <w:r w:rsidR="00E61BE4" w:rsidRPr="00E61BE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финансирования авансовым платежом</w:t>
      </w:r>
      <w:r w:rsidR="009E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возмещения</w:t>
      </w:r>
      <w:r w:rsidR="009E419B"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республиканского бюджета расходов организаций по о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времени простоя в период действия в Приднестровской Молдавской Республике чрезвычайного положения </w:t>
      </w:r>
      <w:r w:rsidR="00AB6F76"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ограничительных мероприятий (кар</w:t>
      </w:r>
      <w:r w:rsid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антина) 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Правительства Приднестровской Молдавской Республики от 21 апреля 2020 года № 125 «Об утверждении Положения о порядке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положения» (САЗ 20-17).</w:t>
      </w: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17 марта 2020 года.</w:t>
      </w: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7" w:rsidRPr="00FB0727" w:rsidRDefault="00FB0727" w:rsidP="00FB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7" w:rsidRPr="00FB0727" w:rsidRDefault="00FB0727" w:rsidP="0027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А.МАРТЫНОВ</w:t>
      </w:r>
    </w:p>
    <w:p w:rsidR="00FB0727" w:rsidRPr="00FB0727" w:rsidRDefault="00FB0727" w:rsidP="00972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7" w:rsidRDefault="00FB0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B48" w:rsidRPr="00972B48" w:rsidRDefault="009E419B" w:rsidP="00972B48">
      <w:pPr>
        <w:autoSpaceDE w:val="0"/>
        <w:autoSpaceDN w:val="0"/>
        <w:adjustRightInd w:val="0"/>
        <w:spacing w:after="0" w:line="240" w:lineRule="auto"/>
        <w:ind w:firstLine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72B48" w:rsidRPr="00972B48" w:rsidRDefault="00972B48" w:rsidP="00972B48">
      <w:pPr>
        <w:autoSpaceDE w:val="0"/>
        <w:autoSpaceDN w:val="0"/>
        <w:adjustRightInd w:val="0"/>
        <w:spacing w:after="0" w:line="240" w:lineRule="auto"/>
        <w:ind w:firstLine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4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972B48" w:rsidRPr="00972B48" w:rsidRDefault="00972B48" w:rsidP="00972B48">
      <w:pPr>
        <w:autoSpaceDE w:val="0"/>
        <w:autoSpaceDN w:val="0"/>
        <w:adjustRightInd w:val="0"/>
        <w:spacing w:after="0" w:line="240" w:lineRule="auto"/>
        <w:ind w:firstLine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48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</w:t>
      </w:r>
    </w:p>
    <w:p w:rsidR="00972B48" w:rsidRPr="00972B48" w:rsidRDefault="00972B48" w:rsidP="00972B48">
      <w:pPr>
        <w:autoSpaceDE w:val="0"/>
        <w:autoSpaceDN w:val="0"/>
        <w:adjustRightInd w:val="0"/>
        <w:spacing w:after="0" w:line="240" w:lineRule="auto"/>
        <w:ind w:firstLine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48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</w:p>
    <w:p w:rsidR="00972B48" w:rsidRPr="00972B48" w:rsidRDefault="00972B48" w:rsidP="00972B48">
      <w:pPr>
        <w:autoSpaceDE w:val="0"/>
        <w:autoSpaceDN w:val="0"/>
        <w:adjustRightInd w:val="0"/>
        <w:spacing w:after="0" w:line="240" w:lineRule="auto"/>
        <w:ind w:firstLine="5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6F76" w:rsidRPr="00AB6F76">
        <w:rPr>
          <w:rFonts w:ascii="Times New Roman" w:eastAsia="Times New Roman" w:hAnsi="Times New Roman" w:cs="Times New Roman"/>
          <w:sz w:val="24"/>
          <w:szCs w:val="24"/>
        </w:rPr>
        <w:t>22 мая 2020 года № 168</w:t>
      </w:r>
    </w:p>
    <w:p w:rsidR="00972B48" w:rsidRPr="00AB6F76" w:rsidRDefault="00972B48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финансирования авансовым платежом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возмещения за счет средств республиканского бюджета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организаций по оплате времени простоя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в Приднестровской Молдавской Республике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чрезвычайного положения и (или) ограничительных мероприятий (карантина)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и условия финансирования авансовым платежом или возмещения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используются следующие понятия: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авансовый платеж – перечисление денежных средств организации в счет предстоящих расходов по оплате времени простоя;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возмещение – компенсация фактически произведенных организацией расходов по оплате времени простоя.</w:t>
      </w:r>
    </w:p>
    <w:p w:rsidR="002C05FC" w:rsidRDefault="00AB6F76" w:rsidP="002C05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авансовым платежом (далее – авансирование) или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 счет средств республиканского бюджета (Резервного фонда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Республики) расходов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по оплате времени простоя в период действия в Приднестровской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Республике чрезвычайного положения и (или) ограничительных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C"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(карантина) за предыдущие месяцы производится:</w:t>
      </w:r>
    </w:p>
    <w:p w:rsidR="002C05FC" w:rsidRDefault="002C05FC" w:rsidP="002C05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организациям, в которых по итогам 2019 года средняя 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 до 50 (пятидесяти) человек и годовая сумма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деятельности составляла не более 700 000 (семисот тысяч) РУ МЗП,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которых была приостановлена в период действия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чрезвычайного положения и (или) ограничительных мероприятий (карантина)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распространения коронавирусной инфекции, вызванной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типом вируса COVID-19, по следующим основаниям:</w:t>
      </w:r>
    </w:p>
    <w:p w:rsidR="002C05FC" w:rsidRDefault="002C05FC" w:rsidP="002C05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прямого запрета (ограничения)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Президента Приднестровской Молдавской Республики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Правительства Приднестровской Молдавской Республики,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решением Оперативного штаба по профилактике и предотвращению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вирусной инфекции;</w:t>
      </w:r>
    </w:p>
    <w:p w:rsidR="002C05FC" w:rsidRDefault="002C05FC" w:rsidP="002C05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приостановление осуществления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действия предписания уполномоченных органов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Приднестровской Молдавской Республики о приостановлении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связи с действием режима чрезвычайного положения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мероприятий (карантина) по предотвращению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коронавирусной инфекции, вызванной новым типом 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COVID-19. Действие настоящего подпункта не распространяется на 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предпринимательской деятельности уполномоченными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 в связи с нарушениями вышеуказанными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норм законодательства Приднестровской Молдавской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</w:t>
      </w:r>
    </w:p>
    <w:p w:rsidR="002C05FC" w:rsidRDefault="002C05FC" w:rsidP="002C05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организациям, осуществляющим деятельность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в организациях общего образования,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 обеспечения, относящимся к санаторно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курортным учреждениям, деятельность которых была приостановлена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(ограничена) в период действия режима чрезвычайного положения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мероприятий (карантина) по предотвращению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коронавирусной инфекции, вызванной новым типом 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5FC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Положение не распространяется на организации, осуществляющие деятельность, связанную с азартными играми и пари, торговлей драгоценными металлами, и ломбардную деятельность.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Авансированию или возмещению за счет средств республиканского бюджета (Резервного фонда Правительства Приднестровской Молдавской Республики) подлежат расходы организаций по оплате времени простоя в размере 50 (пятидесяти) процентов минимального размера оплаты труда, установленного и применяемого в соответствии с законодательством Приднестровской Молдавской Республики, на одного штатного работника, отправленного в простой.</w:t>
      </w:r>
    </w:p>
    <w:p w:rsidR="00DD455E" w:rsidRDefault="00AB6F76" w:rsidP="00DD45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Авансирование или возмещение за счет средств республиканского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(Резервного фонда Правительства Приднестровской Молдавской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Республики) расходов организаций по оплате времени простоя производится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запрета (приостановления, ограничения) деятельности организации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прекращения действия обстоятельств, указанных в части первой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5E" w:rsidRP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 настоящего Положения</w:t>
      </w:r>
      <w:r w:rsidR="00DD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Авансирование или возмещение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предоставляется организациям в отношении работников, принятых в штат организации по состоянию на 17 марта 2020 года и находящихся в простое.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Авансирование или возмещение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не предоставляется организациям, находящимся в процедуре ликвидации и (или) в отношении которых начата процедура несостоятельности (банкротства) в соответствии с законодательством Приднестровской Молдавской Республики.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Порядок подачи заявки на а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вансирование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возмещение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республиканского бюджета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расходов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по оплате времени простоя в период действия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Приднестровской Молдавской Республике чрезвычайного положения </w:t>
      </w:r>
    </w:p>
    <w:p w:rsidR="00AB6F76" w:rsidRPr="00AB6F76" w:rsidRDefault="00AB6F76" w:rsidP="00AB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и (или) ограничительных мероприятий (карантина)</w:t>
      </w:r>
    </w:p>
    <w:p w:rsidR="00AB6F76" w:rsidRPr="00AB6F76" w:rsidRDefault="00AB6F76" w:rsidP="0066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Для авансирования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республиканского бюджета (Резервного фонда Правительства Приднестровской Молдавской Республики) расходов по оплате времени простоя организация, соответствующая условиям, указанным в части первой пункта 3 настоящего Положения, направляет в Министерство по социальной защите и труду Приднестровской Молдавской Республики заявку на авансирование за счет средств республиканского бюджета расходов организации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 (далее – заявка) по форме согласно Приложению № 1 к настоящему Положению с приложением следующих документов: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документа, послужившего основанием приостановления предпринимательской деятельности, за исключением случаев наличия прямого запрета </w:t>
      </w:r>
      <w:r w:rsidR="00F522C3" w:rsidRP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(ограничения)</w:t>
      </w:r>
      <w:r w:rsidR="00F5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правовым актом Президента Приднестровской Молдавской Республики и (или) правовым актом Правительства Приднестровской Молдавской Республики, а также решением Оперативного штаба по профилактике и предотвращению</w:t>
      </w:r>
      <w:r w:rsidRPr="00AB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вирусной инфекции;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формы № 1-МП «Отчет об основных показателях деятельности малого предприятия» за 2019 год (Приложение № 1 к Приказу Государственной службы статистики Приднестровской Молдавской Республики от 12 декабря 2018 года № 203 «Об утверждении Формы государственной статистической отчетности № 1-МП (квартальная, годовая) «Отчет об основных показателях деятельности малого предприятия» и Инструкции по ее заполнению» (САЗ 19-3)) или формы 1-Т «Отчет по труду» за декабрь 2019 года (Приложение № 1 к Приказу Государственной службы статистики Приднестровской Молдавской Республики от 6 августа 2018 года № 103 «Об утверждении Формы государственной статистической отчетности № 1-Т (месячная) «Отчет по труду» и Кратких указаний по ее заполнению» (САЗ 18-34)) и формы № 10-Ф «Отчет о финансовой деятельности организации»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к Приказу Министерства экономического развития Приднестровской Молдавской Республики от 4 июня 2015 года № 95 «Об утверждении Формы государственной статистической отчетности № 10-Ф (полугодовая, годовая) «Отчет о финансовой деятельности организации» (САЗ 15-25));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локального нормативного акта о введении простоя в организации (ее структурном подразделении) либо о приостановлении трудовой деятельности (отправке в простой) отдельных работников с указанием обстоятельств введения простоя, фамилии, имени, отчества (при наличии) работников, с отметкой об ознакомлении работников под роспись;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выписки из штатного расписания по состоянию на 17 марта 2020 года по работникам (пофамильно), отправленным в простой </w:t>
      </w:r>
      <w:r w:rsidR="007C5B78" w:rsidRPr="007C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месяце 2020-2022 годов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табеля учета рабочего времени;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графиков работы, если для работников режим работы отличается от общих правил, установленных в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расчетных ведомостей, заполненные на всех работников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банковских реквизитов организации.</w:t>
      </w:r>
    </w:p>
    <w:p w:rsidR="0078371E" w:rsidRDefault="0078371E" w:rsidP="00783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подпункте «б» части первой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не представляются организациями, указанными в подпункте «б»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пункта 3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документального подтверждения фактической оплаты времени простоя организация, соответствующая условиям, указанным в части первой пункта 3 настоящего Положения, в течение 10 (десяти) рабочих дней после зачисления бюджетных средств на счет организации направляет в Министерство по социальной защите и труду Приднестровской Молдавской Республики следующие документы: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платежных ведомостей – на работников, получающих заработную плату в кассе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платежного поручения с отметкой банка об оплате времени простоя и реестр (список работников) получивших выплату.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возмещения за счет средств республиканского бюджета (Резервного фонда Правительства Приднестровской Молдавской Республики) расходов по оплате времени простоя организация, соответствующая условиям, указанным в части первой пункта 3 настоящего Положения, направляет в Министерство по социальной защите и труду Приднестровской Молдавской Республики заявку по форме согласно Приложению № 1 к настоящему Положению с приложением следующих документов: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документа, послужившего основанием приостановления предпринимательской деятельности, за исключением случаев наличия прямого запрета </w:t>
      </w:r>
      <w:r w:rsidR="0078371E" w:rsidRPr="007837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(ограничения)</w:t>
      </w:r>
      <w:r w:rsidR="007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правовым актом Президента Приднестровской Молдавской Республики и (или) правовым актом Правительства Приднестровской Молдавской Республики, а также решением Оперативного штаба по профилактике и предотвращению распространения вирусной инфекции;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формы № 1-МП «Отчет об основных показателях деятельности малого предприятия» за 2019 год (Приложение № 1 к Приказу Государственной службы статистики Приднестровской Молдавской Республики от 12 декабря 2018 года № 203 «Об утверждении Формы государственной статистической отчетности № 1-МП (квартальная, годовая) «Отчет об основных показателях деятельности малого предприятия» и Инструкции по ее заполнению» (САЗ 19-3)) или формы 1-Т «Отчет по труду» за декабрь 2019 года (Приложение № 1 к Приказу Государственной службы статистики Приднестровской Молдавской Республики от 6 августа 2018 года № 103 «Об утверждении Формы государственной статистической отчетности № 1-Т (месячная) «Отчет по труду» и Кратких указаний по ее заполнению» (САЗ 18-34)) и формы № 10-Ф «Отчет о финансовой деятельности организации» (Приложение к Приказу Министерства экономического развития Приднестровской Молдавской Республики от 4 июня 2015 года № 95 «Об утверждении Формы государственной статистической отчетности № 10-Ф (полугодовая, годовая) «Отчет о финансовой деятельности организации» (САЗ 15-25));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локального нормативного акта о введении простоя в организации (ее структурном подразделении) либо о приостановлении трудовой деятельности (отправке в простой)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работников с указанием обстоятельств введения простоя, фамилии, имени, отчества (при наличии) работников, с отметкой об ознакомлении работников под роспись;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выписки из штатного расписания по состоянию на 17 марта 2020 года по работникам (пофамильно), отправленным в простой </w:t>
      </w:r>
      <w:r w:rsidR="007C5B78" w:rsidRPr="007C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месяце 2020-2022 годов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табеля учета рабочего времени;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графиков работы, если для работников режим работы отличается от общих правил, установленных в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расчетных ведомостей, заполненные на всех работников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копии платежных ведомостей – на работников, получающих заработную плату в кассе организации;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копии платежного поручения с отметкой банка об оплате времени простоя и реестр (список работников) получивших выплату;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банковских реквизитов организации.</w:t>
      </w:r>
    </w:p>
    <w:p w:rsidR="00166C42" w:rsidRDefault="00166C42" w:rsidP="0016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подпункте «б» части первой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не представляются организациями, указанными в подпункте «б»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пункта 3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выявления Министерством по социальной защите и труду Приднестровской Молдавской Республики недостоверности информации, содержащейся в представленных организацией документах, указанных в пунктах 8, 10 настоящего Положения, либо непредставления документов в сроки и согласно перечню, указанным в пункте 9 настоящего Положения, руководитель организации несет ответственность в соответствии с законодательством Приднестровской Молдавской Республики, а сумма средств, авансированных или возмещенных за счет средств республиканского бюджета (Резервного фонда Правительства Приднестровской Молдавской Республики) при оплате времени простоя, подлежит возврату организацией в полном объеме.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представляемые организацией, должны быть подписаны руководителем организации, главным бухгалтером и (или) должностным лицом, ответственным за подготовку соответствующей информации, и скреплены печатью организации.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пунктах 8, 9, 10 настоящего Положения, представляются в письменной форме посредством электронной почты, почтового отправления либо размещения в специальном контейнере для подачи письменной корреспонденции, установленном в Министерстве по социальной защите и труду Приднестровской Молдавской Республики.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посредством электронной почты представление оригиналов документов, перечисленных в пунктах 8, 9, 10 настоящего Положения, должно быть осуществлено в течение 30 (тридцати) календарных дней со дня отмены чрезвычайного положения и (или) ограничительных мероприятий (карантина) на территории Приднестровской Молдавской Республики.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представления организацией документов, предусмотренных пунктами 8 и 10 настоящего Положения, не в полном объеме или несоответствия документов и содержащейся в них информации требованиям законодательства Приднестровской Молдавской Республики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по социальной защите и труду Приднестровской Молдавской Республики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с мотивированным заключением.</w:t>
      </w:r>
    </w:p>
    <w:p w:rsidR="00675052" w:rsidRPr="00675052" w:rsidRDefault="00AB6F76" w:rsidP="0067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осуществляется Министерством по социальной</w:t>
      </w:r>
      <w:r w:rsid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 труду Приднестровской Молдавской Республики в течение</w:t>
      </w:r>
      <w:r w:rsid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 рабочих дней с даты ее регистрации, за исключением случая,</w:t>
      </w:r>
      <w:r w:rsid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частью второй настоящего пункта, и случаев приостановления</w:t>
      </w:r>
      <w:r w:rsid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заявки в соответствии с частью третьей пункта 16 настоящего</w:t>
      </w:r>
      <w:r w:rsid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52"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675052" w:rsidRDefault="00675052" w:rsidP="0067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 и прилагающихся к ней документов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4 (четыре) месяца срок ее рассмотрения составляет 20 (двадцать)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15. Заявка, зарегистрированная Министерством по социальной защите и труду Приднестровской Молдавской Республики до 21 мая 2020 года, рассматривается в порядке и на условиях, установленных пунктами 13, 14, 16 и 17 настоящего Положения.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рассмотрения заявки с прилагающимися к ней документами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 по социальной защите и труду Приднестровской Молдавской Республики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принимает одно из следующих решений: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 признании расходов организации по оплате времени простоя подлежащими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авансированию или возмещению за счет средств республиканского бюджета (Резервного фонда Правительства Приднестровской Молдавской Республики);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расходов организации по оплате времени простоя не подлежащими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авансированию или возмещению за счет средств республиканского бюджета (Резервного фонда Правительства Приднестровской Молдавской Республики). При принятии данного решения организации направляется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мотивированное заключение с обоснованием причин принятия данного решения.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расходов организации по оплате времени простоя не подлежащими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авансированию или возмещению за счет средств республиканского бюджета (Резервного фонда Правительства Приднестровской Молдавской Республики) принимается по следующим основаниям: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заявители не соответствуют требованиям пункта 3 настоящего Положения;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в ходе рассмотрения заявки неполноты либо недостоверности документов, предусмотренных пунктами 8 и 10 настоящего Положения;</w:t>
      </w:r>
    </w:p>
    <w:p w:rsidR="00AB6F76" w:rsidRPr="00AB6F76" w:rsidRDefault="00AB6F76" w:rsidP="00AB6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несоответствие заявки и (или) прилагающихся к ней документов требованиям законодательства Приднестровской Молдавской Республики.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рассмотрения заявки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 по социальной защите и труду Приднестровской Молдавской Республики вправе направлять запросы в иные исполнительные органы государственной власти Приднестровской Молдавской Республики и организации (в том числе заявителю) об уточнении (подтверждении) информации, представление которой предусмотрено пунктами 8 и 10 настоящего Положения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заявителю направляется уведомление о приостановлении рассмотрения заявки до получения запрашиваемой информации.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принятия решения об авансировании или возмещении за счет средств республиканского бюджета (Резервного фонда Правительства Приднестровской Молдавской Республики) расходов организации по оплате времени простоя за соответствующий месяц </w:t>
      </w:r>
      <w:r w:rsidR="008978A3" w:rsidRPr="008978A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годов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повторном обращении организации с заявкой на авансирование или возмещение расходов по оплате времени простоя в последующих месяцах </w:t>
      </w:r>
      <w:r w:rsidR="008978A3" w:rsidRPr="0089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2020-2022 годов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документов, обозначенных в подпунктах «б», «в», «г», «з» пункта 8 и в подпунктах «б», «в», «г», «к» пункта 10 настоящего Положения, не требуется.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B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межведомственного взаимодействия 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авансировании или возмещении за счет средств 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бюджета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организаций 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времени простоя</w:t>
      </w:r>
    </w:p>
    <w:p w:rsidR="00AB6F76" w:rsidRPr="00AB6F76" w:rsidRDefault="00AB6F76" w:rsidP="00AB6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977" w:rsidRPr="006A5977" w:rsidRDefault="00AB6F76" w:rsidP="006A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определения дня прекращения действия обстоятельств,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указанных в части первой пункта 3 настоящего Положения, Министерство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по социальной защите и труду Приднестровской Молдавской Республики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 соответствующие списки организаций, подавших заявку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на авансирование (возмещение) за счет средств республиканского бюджета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(Резервного фонда Правительства Приднестровской Молдавской Республики)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 организаций по оплате времени простоя в период действия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в Приднестровской Молдавской Республике чрезвычайного положения и (или)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ограничительных мероприятий (карантина) по предотвращению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распространения коронавирусной инфекции, вызванной новым типом вируса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COVID-19, по форме согласно Приложению № 2 к настоящему Положению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и еженедельно направляет их в Оперативный штаб по профилактике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и предотвращению распространения вирусной инфекции с целью получения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о снятии запрета (приостановления, ограничения) деятельности</w:t>
      </w:r>
      <w:r w:rsidR="006A59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977"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организации.</w:t>
      </w:r>
    </w:p>
    <w:p w:rsidR="006A5977" w:rsidRDefault="006A5977" w:rsidP="006A5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Оперативный штаб по профилактике и предотвращению распространения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вирусной инфекции в течение 3 (трех) рабочих дней со дня получения списка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организаций, указанного в части первой настоящего пункта, проставляет в нем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дату снятия запрета (приостановления, ограничения) деятельности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и направляет в Министерство по социальной защите и труду Приднестровской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977">
        <w:rPr>
          <w:rFonts w:ascii="Times New Roman" w:eastAsia="Calibri" w:hAnsi="Times New Roman" w:cs="Times New Roman"/>
          <w:sz w:val="24"/>
          <w:szCs w:val="24"/>
          <w:lang w:eastAsia="ru-RU"/>
        </w:rPr>
        <w:t>Молдавской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19. На основании представленных организациями документов Министерство по социальной защите и труду Приднестровской Молдавской Республики исходя из</w:t>
      </w:r>
      <w:r w:rsidRPr="00AB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минимального размера оплаты труда, установленного и применяемого в соответствии с законодательством Приднестровской Молдавской Республики, производит расчет суммы, подлежащей авансированию или возмещению за счет средств республиканского бюджета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(Резервного фонда Правительства Приднестровской Молдавской Республики),</w:t>
      </w:r>
      <w:r w:rsidRPr="00AB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оплате времени простоя.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целях подготовки правового акта Правительства Приднестровской Молдавской Республики о выделении из Резервного фонда Правительства Приднестровской Молдавской Республики необходимых денежных средств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 по социальной защите и труду Приднестровской Молдавской Республики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направляет в адрес Правительства Приднестровской Молдавской Республики документы с обоснованием (расчетами) размера испрашиваемых средств.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Для финансирования расходов, указанных в пункте 19 настоящего Положения, Министерство по социальной защите и труду Приднестровской Молдавской Республики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направляет в Министерство финансов Приднестровской Молдавской Республики обращение (заявку) на выделение финансирования расходов по авансированию или возмещению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 по форме согласно Приложению № 3 к настоящему Положению.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основании правового акта Правительства Приднестровской Молдавской Республики о выделении средств из Резервного фонда Правительства Приднестровской Молдавской Республики и обращения (заявки), указанной в пункте 21 настоящего Положения, Министерство финансов Приднестровской Молдавской Республики выделяет финансирование Министерству по социальной защите и труду Приднестровской Молдавской Республики.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Перечисление средств организациям по авансированию или возмещению за счет средств республиканского бюджета (Резервного фонда Правительства Приднестровской Молдавской Республики) расходов по оплате времени простоя</w:t>
      </w:r>
      <w:r w:rsidRPr="00AB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Министерством по социальной защите и труду Приднестровской Молдавской Республики </w:t>
      </w: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течение 2 (двух) рабочих дней после выделения финансирования из республиканского бюджета (Резервного фонда Правительства Приднестровской Молдавской Республики).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B6F76" w:rsidRPr="00AB6F76" w:rsidRDefault="00AB6F76" w:rsidP="00AB6F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Министерство по социальной защите и труду Приднестровской Молдавской Республики ежемесячно, в срок до 10 числа месяца, следующего за отчетным, представляет в Министерство финансов Приднестровской Молдавской Республики сводный отчет о произведенных выплатах по авансированию или возмещению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 в рамках информации об исполнении республиканского бюджета за соответствующий отчетный период по форме согласно Приложению № 4 к настоящему Положению.</w:t>
      </w:r>
    </w:p>
    <w:p w:rsidR="00AB6F76" w:rsidRPr="00AB6F76" w:rsidRDefault="00AB6F76" w:rsidP="00AB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7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Министерство финансов Приднестровской Молдавской Республики представляет в Правительство Приднестровской Молдавской Республики информацию о расходовании средств по авансированию или возмещению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 в рамках информации об исполнении республиканского бюджета за соответствующий отчетный период.</w:t>
      </w:r>
    </w:p>
    <w:p w:rsidR="00972B48" w:rsidRPr="00972B48" w:rsidRDefault="00972B48" w:rsidP="00972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4C5C" w:rsidRPr="009A4C5C" w:rsidRDefault="009A4C5C" w:rsidP="009A4C5C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A4C5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№ 1 </w:t>
      </w:r>
    </w:p>
    <w:p w:rsidR="009A4C5C" w:rsidRPr="009A4C5C" w:rsidRDefault="009A4C5C" w:rsidP="009A4C5C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A4C5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Положению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</w:t>
      </w:r>
    </w:p>
    <w:p w:rsidR="009A4C5C" w:rsidRPr="009A4C5C" w:rsidRDefault="009A4C5C" w:rsidP="009A4C5C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A4C5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ограничительных мероприятий (карантина)</w:t>
      </w: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Министру по социальной защите и труду</w:t>
      </w: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Приднестровской Молдавской Республики </w:t>
      </w: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</w:t>
      </w: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</w:t>
      </w:r>
    </w:p>
    <w:p w:rsidR="00253E26" w:rsidRPr="00253E26" w:rsidRDefault="00253E26" w:rsidP="00253E26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ЗАЯВКА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авансирование (возмещение) за счет средств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(нужное подчеркнуть)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республиканского бюджета расходов организации</w:t>
      </w:r>
    </w:p>
    <w:p w:rsidR="00253E26" w:rsidRPr="00253E26" w:rsidRDefault="00253E26" w:rsidP="00253E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времени простоя в период действия </w:t>
      </w:r>
    </w:p>
    <w:p w:rsidR="00253E26" w:rsidRPr="00253E26" w:rsidRDefault="00253E26" w:rsidP="00253E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Приднестровской Молдавской Республике чрезвычайного положения</w:t>
      </w:r>
    </w:p>
    <w:p w:rsidR="00253E26" w:rsidRPr="00253E26" w:rsidRDefault="00253E26" w:rsidP="00253E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ограничительных мероприятий (карантина)</w:t>
      </w:r>
    </w:p>
    <w:p w:rsidR="00253E26" w:rsidRPr="00253E26" w:rsidRDefault="00253E26" w:rsidP="00253E26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53E26" w:rsidRPr="00253E26" w:rsidRDefault="00253E26" w:rsidP="00253E26">
      <w:pPr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</w:t>
      </w: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финансирования авансовым платежом или возмещения </w:t>
      </w: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 ограничительных мероприятий (карантина)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место нахождения организации)</w:t>
      </w: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следующие</w:t>
      </w: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виды деятельности в рамках отрасли:</w:t>
      </w: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53E26" w:rsidRPr="00253E26" w:rsidRDefault="00253E26" w:rsidP="00253E26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(наименование отрасли и вида деятельности в соответствии с присвоенными Классификатором отраслей народного хозяйства)</w:t>
      </w: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необходимости авансирования (возмещения) за счет средств республиканского</w:t>
      </w:r>
    </w:p>
    <w:p w:rsidR="00253E26" w:rsidRPr="00253E26" w:rsidRDefault="00253E26" w:rsidP="00253E26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E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253E26" w:rsidRPr="00253E26" w:rsidRDefault="00253E26" w:rsidP="00253E26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(Резервного фонда Правительства Приднестровской Молдавской Республики) расходов в сумме: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Приднестровской Молдавской Республики)</w:t>
      </w:r>
    </w:p>
    <w:p w:rsidR="00253E26" w:rsidRPr="00253E26" w:rsidRDefault="00253E26" w:rsidP="0025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времени простоя работников за: ______________________ 202___ года.</w:t>
      </w:r>
    </w:p>
    <w:p w:rsidR="00253E26" w:rsidRPr="00253E26" w:rsidRDefault="00253E26" w:rsidP="0025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(наименование месяца)</w:t>
      </w:r>
    </w:p>
    <w:p w:rsidR="00253E26" w:rsidRPr="00253E26" w:rsidRDefault="00253E26" w:rsidP="0025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Фамилия, имя, отчество (при наличии)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Подпись</w:t>
      </w: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</w:pPr>
    </w:p>
    <w:p w:rsidR="00253E26" w:rsidRPr="00253E26" w:rsidRDefault="00253E26" w:rsidP="0025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Место печати                                                                       «___» ______________202__ года</w:t>
      </w:r>
    </w:p>
    <w:p w:rsidR="00253E26" w:rsidRDefault="00253E26" w:rsidP="009A4C5C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53E26" w:rsidRPr="009A4C5C" w:rsidRDefault="00253E26" w:rsidP="009A4C5C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A4C5C" w:rsidRPr="009A4C5C" w:rsidRDefault="009A4C5C" w:rsidP="009A4C5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ectPr w:rsidR="009A4C5C" w:rsidRPr="009A4C5C" w:rsidSect="00F04BCC">
          <w:type w:val="continuous"/>
          <w:pgSz w:w="11906" w:h="16838"/>
          <w:pgMar w:top="568" w:right="567" w:bottom="567" w:left="1701" w:header="280" w:footer="709" w:gutter="0"/>
          <w:pgNumType w:fmt="numberInDash"/>
          <w:cols w:space="720"/>
          <w:docGrid w:linePitch="326"/>
        </w:sectPr>
      </w:pPr>
    </w:p>
    <w:p w:rsidR="00376872" w:rsidRPr="00376872" w:rsidRDefault="00376872" w:rsidP="0037687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76872" w:rsidRPr="00376872" w:rsidRDefault="00376872" w:rsidP="0037687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и (или)</w:t>
      </w:r>
    </w:p>
    <w:p w:rsidR="00376872" w:rsidRPr="00376872" w:rsidRDefault="00376872" w:rsidP="0037687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 мероприятий (карантина)</w:t>
      </w:r>
    </w:p>
    <w:p w:rsidR="00376872" w:rsidRDefault="00376872" w:rsidP="001B45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72" w:rsidRPr="00376872" w:rsidRDefault="00376872" w:rsidP="0037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организаций, подавших заявку на авансирование или возмещение за счет средств</w:t>
      </w:r>
    </w:p>
    <w:p w:rsidR="00376872" w:rsidRPr="00376872" w:rsidRDefault="00376872" w:rsidP="0037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расходов организаций по оплате времени простоя </w:t>
      </w:r>
    </w:p>
    <w:p w:rsidR="00376872" w:rsidRPr="00376872" w:rsidRDefault="00376872" w:rsidP="0037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в Приднестровской Молдавской Республике чрезвычайного положения </w:t>
      </w:r>
    </w:p>
    <w:p w:rsidR="00376872" w:rsidRPr="00376872" w:rsidRDefault="00376872" w:rsidP="0037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ограничительных мероприятий (карантина)</w:t>
      </w:r>
    </w:p>
    <w:p w:rsidR="00376872" w:rsidRPr="00376872" w:rsidRDefault="00376872" w:rsidP="00376872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4"/>
        <w:gridCol w:w="2380"/>
        <w:gridCol w:w="1984"/>
        <w:gridCol w:w="2409"/>
      </w:tblGrid>
      <w:tr w:rsidR="00376872" w:rsidRPr="00376872" w:rsidTr="000C3E43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0C3E4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снятия запрета </w:t>
            </w:r>
            <w:r w:rsidR="000C3E43" w:rsidRPr="000C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(приостановления, ограничения) </w:t>
            </w: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376872" w:rsidRPr="00376872" w:rsidTr="000C3E4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Отрасль </w:t>
            </w:r>
          </w:p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(подотрасль),</w:t>
            </w:r>
          </w:p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872" w:rsidRPr="00376872" w:rsidRDefault="00376872" w:rsidP="0037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72" w:rsidRPr="00376872" w:rsidTr="000C3E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</w:p>
        </w:tc>
      </w:tr>
      <w:tr w:rsidR="00376872" w:rsidRPr="00376872" w:rsidTr="000C3E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76872" w:rsidRPr="00376872" w:rsidTr="000C3E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76872" w:rsidRPr="00376872" w:rsidTr="000C3E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72" w:rsidRPr="00376872" w:rsidRDefault="00376872" w:rsidP="00376872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0C3E43" w:rsidRPr="00376872" w:rsidRDefault="000C3E43" w:rsidP="0037687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72" w:rsidRPr="00376872" w:rsidRDefault="00376872" w:rsidP="0037687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6872" w:rsidRPr="00376872" w:rsidRDefault="00376872" w:rsidP="0037687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отмечаются организации, подавшие заявку на авансирование</w:t>
      </w:r>
    </w:p>
    <w:p w:rsidR="00376872" w:rsidRPr="00376872" w:rsidRDefault="00376872" w:rsidP="0037687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72" w:rsidRPr="00376872" w:rsidRDefault="00376872" w:rsidP="003768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Руководитель       ____________________________________</w:t>
      </w:r>
    </w:p>
    <w:p w:rsidR="00376872" w:rsidRPr="00376872" w:rsidRDefault="00376872" w:rsidP="003768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</w:t>
      </w:r>
      <w:r w:rsidRPr="003768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(фамилия, имя, отчество (при наличии))</w:t>
      </w:r>
    </w:p>
    <w:p w:rsidR="00376872" w:rsidRPr="00376872" w:rsidRDefault="00376872" w:rsidP="0037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6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6872" w:rsidRDefault="00376872" w:rsidP="00D76C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72B48" w:rsidRPr="00972B48" w:rsidRDefault="00972B48" w:rsidP="00972B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72B48" w:rsidRPr="00972B48" w:rsidRDefault="00972B48" w:rsidP="00972B4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ectPr w:rsidR="00972B48" w:rsidRPr="00972B48" w:rsidSect="00C74F25">
          <w:headerReference w:type="default" r:id="rId6"/>
          <w:pgSz w:w="11907" w:h="16840"/>
          <w:pgMar w:top="567" w:right="567" w:bottom="851" w:left="1701" w:header="720" w:footer="720" w:gutter="0"/>
          <w:pgNumType w:fmt="numberInDash"/>
          <w:cols w:space="720"/>
          <w:titlePg/>
          <w:docGrid w:linePitch="326"/>
        </w:sectPr>
      </w:pPr>
    </w:p>
    <w:p w:rsidR="00107F99" w:rsidRPr="00107F99" w:rsidRDefault="00107F99" w:rsidP="00107F99">
      <w:pPr>
        <w:spacing w:after="0" w:line="240" w:lineRule="auto"/>
        <w:ind w:left="978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№ 3</w:t>
      </w:r>
    </w:p>
    <w:p w:rsidR="00107F99" w:rsidRPr="00107F99" w:rsidRDefault="00107F99" w:rsidP="00107F99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 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</w:t>
      </w:r>
    </w:p>
    <w:p w:rsidR="00107F99" w:rsidRPr="00107F99" w:rsidRDefault="00107F99" w:rsidP="00107F99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ограничительных мероприятий (карантина)</w:t>
      </w:r>
    </w:p>
    <w:p w:rsidR="00107F99" w:rsidRPr="00107F99" w:rsidRDefault="00107F99" w:rsidP="001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9" w:rsidRPr="00107F99" w:rsidRDefault="00107F99" w:rsidP="0010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(заявка) на выделение финансирования расходов по авансированию или возмещению </w:t>
      </w:r>
    </w:p>
    <w:p w:rsidR="00107F99" w:rsidRPr="00107F99" w:rsidRDefault="00107F99" w:rsidP="0010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республиканского бюджета расходов организаций по оплате времени простоя в период действия </w:t>
      </w:r>
    </w:p>
    <w:p w:rsidR="00107F99" w:rsidRPr="00107F99" w:rsidRDefault="00107F99" w:rsidP="0010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Приднестровской Молдавской Республике чрезвычайного положения и (или) ограничительных мероприятий (карантина)</w:t>
      </w:r>
    </w:p>
    <w:p w:rsidR="00107F99" w:rsidRPr="00107F99" w:rsidRDefault="00107F99" w:rsidP="0010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разделу (подразделу) ____, целевой статье ____, виду расходов___, подстатье экономической классификации____</w:t>
      </w:r>
    </w:p>
    <w:p w:rsidR="00107F99" w:rsidRPr="00107F99" w:rsidRDefault="00107F99" w:rsidP="00107F99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842"/>
        <w:gridCol w:w="1841"/>
        <w:gridCol w:w="1842"/>
        <w:gridCol w:w="2692"/>
        <w:gridCol w:w="2126"/>
      </w:tblGrid>
      <w:tr w:rsidR="00107F99" w:rsidRPr="00107F99" w:rsidTr="008F741D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получателей, человек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организации, подлежащая выплате работникам</w:t>
            </w: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рубли Приднестровской Молдавской Республики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организации, подлежащая авансированию или возмещению,</w:t>
            </w:r>
          </w:p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рубли Приднестровской Молдавской Республики</w:t>
            </w:r>
          </w:p>
        </w:tc>
      </w:tr>
      <w:tr w:rsidR="00107F99" w:rsidRPr="00107F99" w:rsidTr="008F741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</w:p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Отрасль </w:t>
            </w:r>
          </w:p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(подотрасль),</w:t>
            </w:r>
          </w:p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99" w:rsidRPr="00107F99" w:rsidRDefault="00107F99" w:rsidP="00107F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107F99" w:rsidRPr="00107F99" w:rsidTr="008F7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  <w:tr w:rsidR="00107F99" w:rsidRPr="00107F99" w:rsidTr="008F7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107F99" w:rsidRPr="00107F99" w:rsidTr="008F7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107F99" w:rsidRPr="00107F99" w:rsidTr="008F74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107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Итого за отчетный период (месяц)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9" w:rsidRPr="00107F99" w:rsidRDefault="00107F99" w:rsidP="00107F99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107F99" w:rsidRPr="00107F99" w:rsidRDefault="00107F99" w:rsidP="0010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Примечание:</w:t>
      </w:r>
    </w:p>
    <w:p w:rsidR="00107F99" w:rsidRPr="00107F99" w:rsidRDefault="00107F99" w:rsidP="0010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- отмечаются организации, подавшие заявку на авансирование</w:t>
      </w:r>
    </w:p>
    <w:p w:rsidR="00107F99" w:rsidRPr="00107F99" w:rsidRDefault="00107F99" w:rsidP="0010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99" w:rsidRPr="00107F99" w:rsidRDefault="00107F99" w:rsidP="00107F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                      Руководитель организации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____________________________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(фамилия, имя, отчество (при наличии))</w:t>
      </w:r>
    </w:p>
    <w:p w:rsidR="00107F99" w:rsidRPr="00972B48" w:rsidRDefault="00107F99" w:rsidP="00310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Главный бухгалтер организации 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____________________________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(фамилия, имя, отчество (при наличии)) </w:t>
      </w:r>
      <w:r w:rsidRPr="00107F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56E0" w:rsidRPr="00D256E0" w:rsidRDefault="00D256E0" w:rsidP="00D256E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256E0" w:rsidRPr="00D256E0" w:rsidRDefault="00D256E0" w:rsidP="00D256E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 </w:t>
      </w:r>
    </w:p>
    <w:p w:rsidR="00D256E0" w:rsidRPr="00D256E0" w:rsidRDefault="00D256E0" w:rsidP="00D256E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ограничительных мероприятий (карантина)</w:t>
      </w:r>
    </w:p>
    <w:p w:rsidR="00D256E0" w:rsidRDefault="00D256E0" w:rsidP="0097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E0" w:rsidRPr="00D256E0" w:rsidRDefault="00D256E0" w:rsidP="00D2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произведенных выплатах по авансированию или возмещению за счет средств республиканского бюджета</w:t>
      </w:r>
    </w:p>
    <w:p w:rsidR="00D256E0" w:rsidRPr="00D256E0" w:rsidRDefault="00D256E0" w:rsidP="00D2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организаций по оплате времени простоя в период действия в Приднестровской Молдавской Республике </w:t>
      </w:r>
    </w:p>
    <w:p w:rsidR="00D256E0" w:rsidRPr="00D256E0" w:rsidRDefault="00D256E0" w:rsidP="00D2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чрезвычайного положения и (или) ограничительных мероприятий (карантина)</w:t>
      </w:r>
    </w:p>
    <w:p w:rsidR="00D256E0" w:rsidRPr="00D256E0" w:rsidRDefault="00D256E0" w:rsidP="00D2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информации об исполнении республиканского бюджета за соответствующий отчетный период</w:t>
      </w:r>
    </w:p>
    <w:p w:rsidR="00D256E0" w:rsidRPr="00D256E0" w:rsidRDefault="00D256E0" w:rsidP="00D2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31"/>
        <w:gridCol w:w="1701"/>
        <w:gridCol w:w="1701"/>
        <w:gridCol w:w="2722"/>
        <w:gridCol w:w="2693"/>
        <w:gridCol w:w="2268"/>
      </w:tblGrid>
      <w:tr w:rsidR="00D256E0" w:rsidRPr="00D256E0" w:rsidTr="008F741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получателей, человек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организации, подлежащая авансированию или возмещению</w:t>
            </w:r>
          </w:p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республиканского бюджета, </w:t>
            </w: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рубли Приднестровской Молдавской Республики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профинансировано из республиканского бюджета (Резервного фонда Правительства Приднестровской Молдавской Республики),</w:t>
            </w: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рубли Приднестровской Молдавской Республики</w:t>
            </w: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перечислено организации, </w:t>
            </w: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рубли Приднестровской Молдавской Республики</w:t>
            </w: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6E0" w:rsidRPr="00D256E0" w:rsidTr="008F74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</w:p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(подотрасль), 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6E0" w:rsidRPr="00D256E0" w:rsidRDefault="00D256E0" w:rsidP="00D2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6E0" w:rsidRPr="00D256E0" w:rsidTr="008F7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8</w:t>
            </w:r>
          </w:p>
        </w:tc>
      </w:tr>
      <w:tr w:rsidR="00D256E0" w:rsidRPr="00D256E0" w:rsidTr="008F7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256E0" w:rsidRPr="00D256E0" w:rsidTr="008F7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D256E0" w:rsidRPr="00D256E0" w:rsidTr="008F7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256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Итого за отчетный период (месяц)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E0" w:rsidRPr="00D256E0" w:rsidRDefault="00D256E0" w:rsidP="00D256E0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D256E0" w:rsidRPr="00D256E0" w:rsidRDefault="00D256E0" w:rsidP="00D2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256E0" w:rsidRPr="00D256E0" w:rsidRDefault="00D256E0" w:rsidP="00D2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отмечаются организации, подавшие заявку на авансирование</w:t>
      </w:r>
    </w:p>
    <w:p w:rsidR="00D256E0" w:rsidRPr="00D256E0" w:rsidRDefault="00D256E0" w:rsidP="00D2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E0" w:rsidRPr="00D256E0" w:rsidRDefault="00D256E0" w:rsidP="00D256E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                   Руководитель организации            __________________________________</w:t>
      </w: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</w:t>
      </w: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(фамилия, имя, отчество (при наличии))</w:t>
      </w:r>
    </w:p>
    <w:p w:rsidR="00D256E0" w:rsidRDefault="00D256E0" w:rsidP="001C556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бухгалтер организации   _________________________________</w:t>
      </w:r>
      <w:r w:rsidRPr="00D2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(фамилия, имя, отчество (при наличии))</w:t>
      </w:r>
    </w:p>
    <w:sectPr w:rsidR="00D256E0" w:rsidSect="001C556B">
      <w:pgSz w:w="16838" w:h="11906" w:orient="landscape" w:code="9"/>
      <w:pgMar w:top="1276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BB" w:rsidRDefault="00781FBB" w:rsidP="00972B48">
      <w:pPr>
        <w:spacing w:after="0" w:line="240" w:lineRule="auto"/>
      </w:pPr>
      <w:r>
        <w:separator/>
      </w:r>
    </w:p>
  </w:endnote>
  <w:endnote w:type="continuationSeparator" w:id="0">
    <w:p w:rsidR="00781FBB" w:rsidRDefault="00781FBB" w:rsidP="0097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BB" w:rsidRDefault="00781FBB" w:rsidP="00972B48">
      <w:pPr>
        <w:spacing w:after="0" w:line="240" w:lineRule="auto"/>
      </w:pPr>
      <w:r>
        <w:separator/>
      </w:r>
    </w:p>
  </w:footnote>
  <w:footnote w:type="continuationSeparator" w:id="0">
    <w:p w:rsidR="00781FBB" w:rsidRDefault="00781FBB" w:rsidP="0097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85" w:rsidRDefault="007653CC" w:rsidP="00AB6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D67">
      <w:rPr>
        <w:noProof/>
      </w:rPr>
      <w:t>- 11 -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8"/>
    <w:rsid w:val="000009A7"/>
    <w:rsid w:val="00003855"/>
    <w:rsid w:val="00005550"/>
    <w:rsid w:val="00012014"/>
    <w:rsid w:val="00020ECD"/>
    <w:rsid w:val="00026EB5"/>
    <w:rsid w:val="000521A7"/>
    <w:rsid w:val="0007191C"/>
    <w:rsid w:val="00091BD1"/>
    <w:rsid w:val="000A48F2"/>
    <w:rsid w:val="000C3E43"/>
    <w:rsid w:val="000E001F"/>
    <w:rsid w:val="000F0680"/>
    <w:rsid w:val="00106A4E"/>
    <w:rsid w:val="00107F99"/>
    <w:rsid w:val="00116261"/>
    <w:rsid w:val="00123499"/>
    <w:rsid w:val="001240A6"/>
    <w:rsid w:val="00134835"/>
    <w:rsid w:val="00166C42"/>
    <w:rsid w:val="00181A25"/>
    <w:rsid w:val="0018513A"/>
    <w:rsid w:val="00191DC9"/>
    <w:rsid w:val="00194DF4"/>
    <w:rsid w:val="001A6370"/>
    <w:rsid w:val="001B210A"/>
    <w:rsid w:val="001B4585"/>
    <w:rsid w:val="001B77B7"/>
    <w:rsid w:val="001C556B"/>
    <w:rsid w:val="001D3CA7"/>
    <w:rsid w:val="00207F8C"/>
    <w:rsid w:val="0021277D"/>
    <w:rsid w:val="00217F90"/>
    <w:rsid w:val="00253E26"/>
    <w:rsid w:val="00266361"/>
    <w:rsid w:val="00271DE6"/>
    <w:rsid w:val="002733C9"/>
    <w:rsid w:val="00290FC4"/>
    <w:rsid w:val="002A3CEC"/>
    <w:rsid w:val="002C05FC"/>
    <w:rsid w:val="002D0067"/>
    <w:rsid w:val="002E2773"/>
    <w:rsid w:val="002F704B"/>
    <w:rsid w:val="00310C18"/>
    <w:rsid w:val="003138CA"/>
    <w:rsid w:val="003243B5"/>
    <w:rsid w:val="003369A3"/>
    <w:rsid w:val="00345EFA"/>
    <w:rsid w:val="00364FD1"/>
    <w:rsid w:val="0037312E"/>
    <w:rsid w:val="00373E96"/>
    <w:rsid w:val="00376872"/>
    <w:rsid w:val="0038576C"/>
    <w:rsid w:val="003B1A22"/>
    <w:rsid w:val="00405D88"/>
    <w:rsid w:val="00414FD8"/>
    <w:rsid w:val="00422624"/>
    <w:rsid w:val="004B065E"/>
    <w:rsid w:val="004C2E91"/>
    <w:rsid w:val="005257DB"/>
    <w:rsid w:val="00535085"/>
    <w:rsid w:val="00594329"/>
    <w:rsid w:val="005A06EB"/>
    <w:rsid w:val="005C7FBA"/>
    <w:rsid w:val="00616888"/>
    <w:rsid w:val="00620583"/>
    <w:rsid w:val="00652A31"/>
    <w:rsid w:val="00654A1A"/>
    <w:rsid w:val="00665283"/>
    <w:rsid w:val="006727E5"/>
    <w:rsid w:val="00675052"/>
    <w:rsid w:val="00691D21"/>
    <w:rsid w:val="006A5977"/>
    <w:rsid w:val="006A5F4C"/>
    <w:rsid w:val="006B5D5B"/>
    <w:rsid w:val="00703887"/>
    <w:rsid w:val="00707A3A"/>
    <w:rsid w:val="007242CE"/>
    <w:rsid w:val="0074373D"/>
    <w:rsid w:val="0075140B"/>
    <w:rsid w:val="007653CC"/>
    <w:rsid w:val="00781FBB"/>
    <w:rsid w:val="0078371E"/>
    <w:rsid w:val="00785BEE"/>
    <w:rsid w:val="007861BB"/>
    <w:rsid w:val="007B0E9D"/>
    <w:rsid w:val="007C2457"/>
    <w:rsid w:val="007C5B78"/>
    <w:rsid w:val="007C6002"/>
    <w:rsid w:val="00814EEE"/>
    <w:rsid w:val="0082026D"/>
    <w:rsid w:val="00880F53"/>
    <w:rsid w:val="00882360"/>
    <w:rsid w:val="0089054F"/>
    <w:rsid w:val="008978A3"/>
    <w:rsid w:val="008A3413"/>
    <w:rsid w:val="008A7717"/>
    <w:rsid w:val="008A7C86"/>
    <w:rsid w:val="008C3067"/>
    <w:rsid w:val="008D5331"/>
    <w:rsid w:val="008E5A7C"/>
    <w:rsid w:val="008F102C"/>
    <w:rsid w:val="008F7C7C"/>
    <w:rsid w:val="00913129"/>
    <w:rsid w:val="00932D70"/>
    <w:rsid w:val="009436A8"/>
    <w:rsid w:val="009448C1"/>
    <w:rsid w:val="00950795"/>
    <w:rsid w:val="00972B48"/>
    <w:rsid w:val="009850E8"/>
    <w:rsid w:val="009A4C5C"/>
    <w:rsid w:val="009E419B"/>
    <w:rsid w:val="009F1E2B"/>
    <w:rsid w:val="00A102D3"/>
    <w:rsid w:val="00A35E4A"/>
    <w:rsid w:val="00A5452F"/>
    <w:rsid w:val="00A64533"/>
    <w:rsid w:val="00A65DDA"/>
    <w:rsid w:val="00A86A5F"/>
    <w:rsid w:val="00A91810"/>
    <w:rsid w:val="00AB6F76"/>
    <w:rsid w:val="00B00A99"/>
    <w:rsid w:val="00B057D2"/>
    <w:rsid w:val="00B34346"/>
    <w:rsid w:val="00B504B2"/>
    <w:rsid w:val="00B6625C"/>
    <w:rsid w:val="00BC5C88"/>
    <w:rsid w:val="00BE1DC1"/>
    <w:rsid w:val="00C209F9"/>
    <w:rsid w:val="00C31C54"/>
    <w:rsid w:val="00C4683A"/>
    <w:rsid w:val="00C74F25"/>
    <w:rsid w:val="00C87D71"/>
    <w:rsid w:val="00C945F7"/>
    <w:rsid w:val="00CA7378"/>
    <w:rsid w:val="00CD4CFA"/>
    <w:rsid w:val="00CF6DC8"/>
    <w:rsid w:val="00D104AE"/>
    <w:rsid w:val="00D15345"/>
    <w:rsid w:val="00D15DCA"/>
    <w:rsid w:val="00D256E0"/>
    <w:rsid w:val="00D72586"/>
    <w:rsid w:val="00D76C54"/>
    <w:rsid w:val="00D81D89"/>
    <w:rsid w:val="00D97FFD"/>
    <w:rsid w:val="00DB3D67"/>
    <w:rsid w:val="00DC36E1"/>
    <w:rsid w:val="00DD455E"/>
    <w:rsid w:val="00DD4DB4"/>
    <w:rsid w:val="00DF4848"/>
    <w:rsid w:val="00E37212"/>
    <w:rsid w:val="00E6147B"/>
    <w:rsid w:val="00E61BE4"/>
    <w:rsid w:val="00E93E8D"/>
    <w:rsid w:val="00EC48F3"/>
    <w:rsid w:val="00EE4D56"/>
    <w:rsid w:val="00EE5249"/>
    <w:rsid w:val="00F04BCC"/>
    <w:rsid w:val="00F4125A"/>
    <w:rsid w:val="00F522C3"/>
    <w:rsid w:val="00F6044D"/>
    <w:rsid w:val="00F92AC1"/>
    <w:rsid w:val="00FA5700"/>
    <w:rsid w:val="00FA73C7"/>
    <w:rsid w:val="00FB0727"/>
    <w:rsid w:val="00FE6EB7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16E9-0170-4E63-B34E-1C2E55B4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B48"/>
  </w:style>
  <w:style w:type="paragraph" w:styleId="a7">
    <w:name w:val="No Spacing"/>
    <w:uiPriority w:val="1"/>
    <w:qFormat/>
    <w:rsid w:val="00620583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тиль"/>
    <w:uiPriority w:val="99"/>
    <w:rsid w:val="0062058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Знак"/>
    <w:aliases w:val="Текст Знак1 Знак Знак,Текст Знак Знак Знак Знак,Знак Знак Знак Знак Знак,Текст Знак2 Знак,Знак Знак Знак,Текст Знак1 Знак1 Знак,Знак Знак Знак Знак1 Знак,Знак Знак1,Знак Знак Знак Знак Знак Знак"/>
    <w:basedOn w:val="a0"/>
    <w:link w:val="1"/>
    <w:locked/>
    <w:rsid w:val="0062058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Текст Знак Знак Знак1 Знак,Знак3,Зна"/>
    <w:basedOn w:val="a"/>
    <w:link w:val="a9"/>
    <w:rsid w:val="006205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ify">
    <w:name w:val="justify"/>
    <w:basedOn w:val="a"/>
    <w:rsid w:val="0062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Лопушанская</dc:creator>
  <cp:keywords/>
  <dc:description/>
  <cp:lastModifiedBy>Наталья М. Лопушанская</cp:lastModifiedBy>
  <cp:revision>12</cp:revision>
  <cp:lastPrinted>2020-05-20T11:28:00Z</cp:lastPrinted>
  <dcterms:created xsi:type="dcterms:W3CDTF">2022-04-19T11:54:00Z</dcterms:created>
  <dcterms:modified xsi:type="dcterms:W3CDTF">2022-04-20T06:56:00Z</dcterms:modified>
</cp:coreProperties>
</file>